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F2" w:rsidRDefault="00016BF2" w:rsidP="00EE7212">
      <w:pPr>
        <w:spacing w:after="0"/>
        <w:ind w:firstLine="851"/>
        <w:jc w:val="both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fldChar w:fldCharType="begin"/>
      </w:r>
      <w:r>
        <w:rPr>
          <w:b/>
          <w:bCs/>
          <w:color w:val="C00000"/>
          <w:sz w:val="28"/>
          <w:szCs w:val="28"/>
        </w:rPr>
        <w:instrText xml:space="preserve"> HYPERLINK "</w:instrText>
      </w:r>
      <w:r w:rsidRPr="00016BF2">
        <w:rPr>
          <w:b/>
          <w:bCs/>
          <w:color w:val="C00000"/>
          <w:sz w:val="28"/>
          <w:szCs w:val="28"/>
        </w:rPr>
        <w:instrText>http://m-kuzminki.ru/apparat_sov_dep/polnomozija_sd.php</w:instrText>
      </w:r>
      <w:r>
        <w:rPr>
          <w:b/>
          <w:bCs/>
          <w:color w:val="C00000"/>
          <w:sz w:val="28"/>
          <w:szCs w:val="28"/>
        </w:rPr>
        <w:instrText xml:space="preserve">" </w:instrText>
      </w:r>
      <w:r>
        <w:rPr>
          <w:b/>
          <w:bCs/>
          <w:color w:val="C00000"/>
          <w:sz w:val="28"/>
          <w:szCs w:val="28"/>
        </w:rPr>
        <w:fldChar w:fldCharType="separate"/>
      </w:r>
      <w:r w:rsidRPr="00932162">
        <w:rPr>
          <w:rStyle w:val="a3"/>
          <w:b/>
          <w:bCs/>
          <w:sz w:val="28"/>
          <w:szCs w:val="28"/>
        </w:rPr>
        <w:t>http://m-kuzminki.ru/apparat_sov_dep/polnomozija_sd.php</w:t>
      </w:r>
      <w:r>
        <w:rPr>
          <w:b/>
          <w:bCs/>
          <w:color w:val="C00000"/>
          <w:sz w:val="28"/>
          <w:szCs w:val="28"/>
        </w:rPr>
        <w:fldChar w:fldCharType="end"/>
      </w:r>
    </w:p>
    <w:p w:rsidR="00016BF2" w:rsidRPr="00016BF2" w:rsidRDefault="00016BF2" w:rsidP="00EE7212">
      <w:pPr>
        <w:spacing w:after="0"/>
        <w:ind w:firstLine="851"/>
        <w:jc w:val="both"/>
        <w:rPr>
          <w:b/>
          <w:bCs/>
          <w:color w:val="C00000"/>
          <w:sz w:val="28"/>
          <w:szCs w:val="28"/>
        </w:rPr>
      </w:pPr>
    </w:p>
    <w:p w:rsidR="00EE7212" w:rsidRDefault="00EE7212" w:rsidP="00EE7212">
      <w:pPr>
        <w:spacing w:after="0"/>
        <w:ind w:firstLine="851"/>
        <w:jc w:val="both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>Из Устава МО Кузьминки</w:t>
      </w:r>
    </w:p>
    <w:p w:rsidR="00EE7212" w:rsidRDefault="00EE7212" w:rsidP="00016BF2">
      <w:pPr>
        <w:spacing w:after="0"/>
        <w:jc w:val="both"/>
        <w:rPr>
          <w:b/>
          <w:bCs/>
          <w:color w:val="17365D" w:themeColor="text2" w:themeShade="BF"/>
          <w:sz w:val="28"/>
          <w:szCs w:val="28"/>
        </w:rPr>
      </w:pPr>
    </w:p>
    <w:p w:rsidR="00EE7212" w:rsidRPr="00EE7212" w:rsidRDefault="00EE7212" w:rsidP="00EE7212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EE721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Статья 15. Аппарат Совета депутатов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 xml:space="preserve">1. Аппарат Совета депутатов является органом </w:t>
      </w:r>
      <w:r w:rsidRPr="00EE7212">
        <w:rPr>
          <w:bCs/>
          <w:color w:val="17365D" w:themeColor="text2" w:themeShade="BF"/>
          <w:sz w:val="28"/>
          <w:szCs w:val="28"/>
        </w:rPr>
        <w:t>местного самоуправления</w:t>
      </w:r>
      <w:r w:rsidRPr="00EE7212">
        <w:rPr>
          <w:color w:val="17365D" w:themeColor="text2" w:themeShade="BF"/>
          <w:sz w:val="28"/>
          <w:szCs w:val="28"/>
        </w:rPr>
        <w:t xml:space="preserve">, осуществляющим исполнительно-распорядительную деятельность. 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2. Аппаратом Совета депутатов руководит глава муниципального округа на принципах единоначалия.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 xml:space="preserve">3. Организационное, документационное, информационное обеспечение деятельности </w:t>
      </w:r>
      <w:r w:rsidRPr="00EE7212">
        <w:rPr>
          <w:iCs/>
          <w:color w:val="17365D" w:themeColor="text2" w:themeShade="BF"/>
          <w:sz w:val="28"/>
          <w:szCs w:val="28"/>
        </w:rPr>
        <w:t>аппарата Совета депутатов</w:t>
      </w:r>
      <w:r w:rsidRPr="00EE7212">
        <w:rPr>
          <w:color w:val="17365D" w:themeColor="text2" w:themeShade="BF"/>
          <w:sz w:val="28"/>
          <w:szCs w:val="28"/>
        </w:rPr>
        <w:t xml:space="preserve"> осуществляется в соответствии с Регламентом </w:t>
      </w:r>
      <w:r w:rsidRPr="00EE7212">
        <w:rPr>
          <w:iCs/>
          <w:color w:val="17365D" w:themeColor="text2" w:themeShade="BF"/>
          <w:sz w:val="28"/>
          <w:szCs w:val="28"/>
        </w:rPr>
        <w:t>аппарата Совета депутатов</w:t>
      </w:r>
      <w:r w:rsidRPr="00EE7212">
        <w:rPr>
          <w:color w:val="17365D" w:themeColor="text2" w:themeShade="BF"/>
          <w:sz w:val="28"/>
          <w:szCs w:val="28"/>
        </w:rPr>
        <w:t xml:space="preserve">, утверждаемым распоряжением </w:t>
      </w:r>
      <w:r w:rsidRPr="00EE7212">
        <w:rPr>
          <w:iCs/>
          <w:color w:val="17365D" w:themeColor="text2" w:themeShade="BF"/>
          <w:sz w:val="28"/>
          <w:szCs w:val="28"/>
        </w:rPr>
        <w:t>аппарата Совета депутатов</w:t>
      </w:r>
      <w:r w:rsidRPr="00EE7212">
        <w:rPr>
          <w:color w:val="17365D" w:themeColor="text2" w:themeShade="BF"/>
          <w:sz w:val="28"/>
          <w:szCs w:val="28"/>
        </w:rPr>
        <w:t>.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4. Структура аппарата Совета депутатов утверждается решением Совета депутатов по представлению главы муниципального округа.</w:t>
      </w:r>
    </w:p>
    <w:p w:rsidR="00EE7212" w:rsidRPr="00EE7212" w:rsidRDefault="00EE7212" w:rsidP="00EE7212">
      <w:pPr>
        <w:spacing w:after="0"/>
        <w:ind w:firstLine="851"/>
        <w:jc w:val="both"/>
        <w:rPr>
          <w:bCs/>
          <w:color w:val="17365D" w:themeColor="text2" w:themeShade="BF"/>
          <w:sz w:val="28"/>
          <w:szCs w:val="28"/>
        </w:rPr>
      </w:pPr>
      <w:r w:rsidRPr="00EE7212">
        <w:rPr>
          <w:bCs/>
          <w:color w:val="17365D" w:themeColor="text2" w:themeShade="BF"/>
          <w:sz w:val="28"/>
          <w:szCs w:val="28"/>
        </w:rPr>
        <w:t>5. Аппарат Совета депутатов обладает правами юридического лица.</w:t>
      </w:r>
    </w:p>
    <w:p w:rsidR="00EE7212" w:rsidRPr="00EE7212" w:rsidRDefault="00EE7212" w:rsidP="00EE7212">
      <w:pPr>
        <w:spacing w:after="0"/>
        <w:ind w:firstLine="851"/>
        <w:jc w:val="both"/>
        <w:rPr>
          <w:bCs/>
          <w:color w:val="17365D" w:themeColor="text2" w:themeShade="BF"/>
          <w:sz w:val="28"/>
          <w:szCs w:val="28"/>
        </w:rPr>
      </w:pPr>
      <w:r w:rsidRPr="00EE7212">
        <w:rPr>
          <w:bCs/>
          <w:color w:val="17365D" w:themeColor="text2" w:themeShade="BF"/>
          <w:sz w:val="28"/>
          <w:szCs w:val="28"/>
        </w:rPr>
        <w:t xml:space="preserve">6. Аппарат Совета депутатов имеет </w:t>
      </w:r>
      <w:r w:rsidRPr="00EE7212">
        <w:rPr>
          <w:color w:val="17365D" w:themeColor="text2" w:themeShade="BF"/>
          <w:sz w:val="28"/>
          <w:szCs w:val="28"/>
        </w:rPr>
        <w:t>печать и бланки с изображением герба муниципального округа</w:t>
      </w:r>
      <w:r w:rsidRPr="00EE7212">
        <w:rPr>
          <w:bCs/>
          <w:color w:val="17365D" w:themeColor="text2" w:themeShade="BF"/>
          <w:sz w:val="28"/>
          <w:szCs w:val="28"/>
        </w:rPr>
        <w:t>.</w:t>
      </w:r>
    </w:p>
    <w:p w:rsidR="00EE7212" w:rsidRPr="00EE7212" w:rsidRDefault="00EE7212" w:rsidP="00EE7212">
      <w:pPr>
        <w:spacing w:after="0"/>
        <w:ind w:firstLine="851"/>
        <w:jc w:val="both"/>
        <w:rPr>
          <w:b/>
          <w:bCs/>
          <w:color w:val="17365D" w:themeColor="text2" w:themeShade="BF"/>
          <w:sz w:val="28"/>
          <w:szCs w:val="28"/>
        </w:rPr>
      </w:pPr>
    </w:p>
    <w:p w:rsidR="00EE7212" w:rsidRPr="00EE7212" w:rsidRDefault="00EE7212" w:rsidP="00EE7212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EE721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Статья 16. Полномочия аппарата Совета депутатов</w:t>
      </w:r>
    </w:p>
    <w:p w:rsidR="00EE7212" w:rsidRPr="00EE7212" w:rsidRDefault="00EE7212" w:rsidP="00EE7212">
      <w:pPr>
        <w:spacing w:after="0"/>
        <w:ind w:firstLine="851"/>
        <w:jc w:val="both"/>
        <w:rPr>
          <w:b/>
          <w:bCs/>
          <w:color w:val="17365D" w:themeColor="text2" w:themeShade="BF"/>
          <w:sz w:val="28"/>
          <w:szCs w:val="28"/>
        </w:rPr>
      </w:pPr>
    </w:p>
    <w:p w:rsidR="00EE7212" w:rsidRPr="00EE7212" w:rsidRDefault="00EE7212" w:rsidP="00EE7212">
      <w:pPr>
        <w:spacing w:after="0"/>
        <w:ind w:firstLine="851"/>
        <w:jc w:val="both"/>
        <w:rPr>
          <w:bCs/>
          <w:color w:val="17365D" w:themeColor="text2" w:themeShade="BF"/>
          <w:sz w:val="28"/>
          <w:szCs w:val="28"/>
        </w:rPr>
      </w:pPr>
      <w:r w:rsidRPr="00EE7212">
        <w:rPr>
          <w:bCs/>
          <w:color w:val="17365D" w:themeColor="text2" w:themeShade="BF"/>
          <w:sz w:val="28"/>
          <w:szCs w:val="28"/>
        </w:rPr>
        <w:t>К полномочиям аппарата Совета депутатов относится: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 xml:space="preserve">1) формирование и исполнение местного бюджета; 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2) осуществление полномочий финансового органа муниципального округа в соответствии с Бюджетным кодексом Российской Федерации;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3) осуществление обеспечения деятельности главы муниципального округа и Совета депутатов;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4) владение, пользование и распоряжение имуществом, находящимся в муниципальной собственности муниципального округа;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5) принятие решения о разрешении вступления в брак лицам, достигшим возраста шестнадцати лет, в порядке, установленном семейным законодательством Российской Федерации;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6) организация и проведение местных праздничных и иных зрелищных мероприятий, развитие местных традиций и обрядов;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lastRenderedPageBreak/>
        <w:t>7) организация и проведение мероприятий по военно-патриотическому воспитанию граждан Российской Федерации, проживающих на территории муниципального округа;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8) регистрация трудовых договоров, заключаемых работодателями – физическими лицами, не являющимися индивидуальными предпринимателями, с работниками, а также регистрация факта прекращения трудового договора;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9) информирование жителей о деятельности органов местного самоуправления;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10) распространение экологической информации, полученной от государственных органов;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11) сохранение, использование и популяризация объектов культурного наследия (памятники истории и культуры местного значения), находящихся в собственности муниципального округа;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12) разработка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архивов, подведомственных органам местного самоуправления организаций;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13) рассмотрение жалоб потребителей, консультирование их по вопросам защиты прав потребителей;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14) взаимодействие с общественными объединениями;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15) участие: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 xml:space="preserve">а) в проведении мероприятий по государственному экологическому контролю (плановых и внеплановых проверок), осуществляемых государственными инспекторами города Москвы по охране природы; 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б) в осуществлении ежегодного персонального учета детей, подлежащих обучению в образовательных учреждениях, реализующих общеобразовательные программы, во взаимодействии с отраслевыми, функциональными и территориальными органами исполнительной власти города Москвы и образовательными учреждениями;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в) в организации работы общественных пунктов охраны порядка и их советов;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г) в работе призывной комиссии в соответствии с федеральным законодательством;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proofErr w:type="spellStart"/>
      <w:r w:rsidRPr="00EE7212">
        <w:rPr>
          <w:color w:val="17365D" w:themeColor="text2" w:themeShade="BF"/>
          <w:sz w:val="28"/>
          <w:szCs w:val="28"/>
        </w:rPr>
        <w:t>д</w:t>
      </w:r>
      <w:proofErr w:type="spellEnd"/>
      <w:r w:rsidRPr="00EE7212">
        <w:rPr>
          <w:color w:val="17365D" w:themeColor="text2" w:themeShade="BF"/>
          <w:sz w:val="28"/>
          <w:szCs w:val="28"/>
        </w:rPr>
        <w:t xml:space="preserve">) в организационном обеспечении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</w:t>
      </w:r>
      <w:r w:rsidRPr="00EE7212">
        <w:rPr>
          <w:color w:val="17365D" w:themeColor="text2" w:themeShade="BF"/>
          <w:sz w:val="28"/>
          <w:szCs w:val="28"/>
        </w:rPr>
        <w:lastRenderedPageBreak/>
        <w:t xml:space="preserve">города Москвы в соответствии с федеральными законами и законами города Москвы; 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 xml:space="preserve"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Москвы; 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ж) в организации и проведении городских праздничных и иных зрелищных мероприятий;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proofErr w:type="spellStart"/>
      <w:r w:rsidRPr="00EE7212">
        <w:rPr>
          <w:color w:val="17365D" w:themeColor="text2" w:themeShade="BF"/>
          <w:sz w:val="28"/>
          <w:szCs w:val="28"/>
        </w:rPr>
        <w:t>з</w:t>
      </w:r>
      <w:proofErr w:type="spellEnd"/>
      <w:r w:rsidRPr="00EE7212">
        <w:rPr>
          <w:color w:val="17365D" w:themeColor="text2" w:themeShade="BF"/>
          <w:sz w:val="28"/>
          <w:szCs w:val="28"/>
        </w:rPr>
        <w:t xml:space="preserve">)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округа; 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16)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на территории муниципального округа;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17) внесение в Совет депутатов предложений: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а) по созданию условий для развития на территории муниципального округа физической культуры и массового спорта;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б) по организации и изменению маршрутов, режима работы, остановок наземного городского пассажирского транспорта;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в) по повышению эффективности охраны общественного порядка на территории муниципального округа;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 xml:space="preserve">18) формирование и размещение муниципального заказа на поставки товаров, выполнение работ оказание услуг для муниципальных нужд; 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 xml:space="preserve">19) организационное, информационное и материально-техническое обеспечение подготовки и проведения муниципальных выборов, местного референдума в соответствии с федеральными законами и законами города Москвы; проведение работы по повышению правовой культуры избирателей; </w:t>
      </w:r>
    </w:p>
    <w:p w:rsidR="00EE7212" w:rsidRPr="00EE7212" w:rsidRDefault="00EE7212" w:rsidP="00EE7212">
      <w:pPr>
        <w:spacing w:after="0"/>
        <w:ind w:firstLine="851"/>
        <w:jc w:val="both"/>
        <w:rPr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t>20) регистрация уставов территориальных общественных самоуправлений;</w:t>
      </w:r>
    </w:p>
    <w:p w:rsidR="00EE7212" w:rsidRPr="00EE7212" w:rsidRDefault="00EE7212" w:rsidP="00EE7212">
      <w:pPr>
        <w:pStyle w:val="ConsPlusNormal"/>
        <w:ind w:firstLine="851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E721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21) организация профессиональной подготовки, переподготовки, повышения квалификации муниципальных служащих;</w:t>
      </w:r>
    </w:p>
    <w:p w:rsidR="00EE7212" w:rsidRPr="00EE7212" w:rsidRDefault="00EE7212" w:rsidP="00EE7212">
      <w:pPr>
        <w:spacing w:after="0"/>
        <w:ind w:firstLine="851"/>
        <w:jc w:val="both"/>
        <w:rPr>
          <w:bCs/>
          <w:color w:val="17365D" w:themeColor="text2" w:themeShade="BF"/>
          <w:sz w:val="28"/>
          <w:szCs w:val="28"/>
        </w:rPr>
      </w:pPr>
      <w:r w:rsidRPr="00EE7212">
        <w:rPr>
          <w:color w:val="17365D" w:themeColor="text2" w:themeShade="BF"/>
          <w:sz w:val="28"/>
          <w:szCs w:val="28"/>
        </w:rPr>
        <w:lastRenderedPageBreak/>
        <w:t xml:space="preserve">22) иные </w:t>
      </w:r>
      <w:r w:rsidRPr="00EE7212">
        <w:rPr>
          <w:bCs/>
          <w:color w:val="17365D" w:themeColor="text2" w:themeShade="BF"/>
          <w:sz w:val="28"/>
          <w:szCs w:val="28"/>
        </w:rPr>
        <w:t>полномочия в соответствии с федеральными законами, законами города Москвы, настоящим Уставом.</w:t>
      </w:r>
    </w:p>
    <w:p w:rsidR="00EE7212" w:rsidRPr="00EE7212" w:rsidRDefault="00EE7212" w:rsidP="00EE7212">
      <w:pPr>
        <w:spacing w:after="0"/>
        <w:ind w:firstLine="851"/>
        <w:jc w:val="both"/>
        <w:rPr>
          <w:b/>
          <w:color w:val="17365D" w:themeColor="text2" w:themeShade="BF"/>
          <w:sz w:val="28"/>
          <w:szCs w:val="28"/>
        </w:rPr>
      </w:pPr>
    </w:p>
    <w:p w:rsidR="00746D6F" w:rsidRPr="00EE7212" w:rsidRDefault="00746D6F" w:rsidP="00EE7212">
      <w:pPr>
        <w:spacing w:after="0"/>
        <w:rPr>
          <w:color w:val="17365D" w:themeColor="text2" w:themeShade="BF"/>
          <w:sz w:val="28"/>
          <w:szCs w:val="28"/>
        </w:rPr>
      </w:pPr>
    </w:p>
    <w:sectPr w:rsidR="00746D6F" w:rsidRPr="00EE7212" w:rsidSect="0017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212"/>
    <w:rsid w:val="00016BF2"/>
    <w:rsid w:val="00175CFD"/>
    <w:rsid w:val="00746D6F"/>
    <w:rsid w:val="00EE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E7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E7212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4887</Characters>
  <Application>Microsoft Office Word</Application>
  <DocSecurity>0</DocSecurity>
  <Lines>40</Lines>
  <Paragraphs>11</Paragraphs>
  <ScaleCrop>false</ScaleCrop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2014-07-21T12:07:00Z</dcterms:created>
  <dcterms:modified xsi:type="dcterms:W3CDTF">2014-07-21T12:11:00Z</dcterms:modified>
</cp:coreProperties>
</file>